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21"/>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814101">
      <w:pPr>
        <w:pStyle w:val="af7"/>
        <w:numPr>
          <w:ilvl w:val="0"/>
          <w:numId w:val="31"/>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814101">
      <w:pPr>
        <w:pStyle w:val="af7"/>
        <w:numPr>
          <w:ilvl w:val="0"/>
          <w:numId w:val="31"/>
        </w:numPr>
        <w:rPr>
          <w:highlight w:val="yellow"/>
          <w:lang w:val="en-GB"/>
        </w:rPr>
      </w:pPr>
      <w:r w:rsidRPr="00FE225F">
        <w:rPr>
          <w:highlight w:val="yellow"/>
          <w:lang w:val="en-GB"/>
        </w:rPr>
        <w:t>Configured grant</w:t>
      </w:r>
    </w:p>
    <w:p w14:paraId="3FAEC4A5" w14:textId="49F1EC4D" w:rsidR="0075737A" w:rsidRPr="00FE225F" w:rsidRDefault="0075737A" w:rsidP="00814101">
      <w:pPr>
        <w:pStyle w:val="af7"/>
        <w:numPr>
          <w:ilvl w:val="1"/>
          <w:numId w:val="31"/>
        </w:numPr>
        <w:rPr>
          <w:highlight w:val="yellow"/>
          <w:lang w:val="en-GB"/>
        </w:rPr>
      </w:pPr>
      <w:r w:rsidRPr="00FE225F">
        <w:rPr>
          <w:highlight w:val="yellow"/>
          <w:lang w:val="en-GB"/>
        </w:rPr>
        <w:t>Whether to use physical or logical slots.</w:t>
      </w:r>
    </w:p>
    <w:p w14:paraId="61031DC9" w14:textId="4B99183B" w:rsidR="0075737A" w:rsidRPr="00FE225F" w:rsidRDefault="0075737A" w:rsidP="00814101">
      <w:pPr>
        <w:pStyle w:val="af7"/>
        <w:numPr>
          <w:ilvl w:val="1"/>
          <w:numId w:val="31"/>
        </w:numPr>
        <w:rPr>
          <w:highlight w:val="yellow"/>
          <w:lang w:val="en-GB"/>
        </w:rPr>
      </w:pPr>
      <w:r w:rsidRPr="00FE225F">
        <w:rPr>
          <w:highlight w:val="yellow"/>
          <w:lang w:val="en-GB"/>
        </w:rPr>
        <w:t>Type-1: remaining details of frame indexing</w:t>
      </w:r>
    </w:p>
    <w:p w14:paraId="4B4370D7" w14:textId="327CB737" w:rsidR="00FE225F" w:rsidRDefault="00FE225F" w:rsidP="00814101">
      <w:pPr>
        <w:pStyle w:val="af7"/>
        <w:numPr>
          <w:ilvl w:val="1"/>
          <w:numId w:val="31"/>
        </w:numPr>
        <w:rPr>
          <w:lang w:val="en-GB"/>
        </w:rPr>
      </w:pPr>
      <w:r>
        <w:rPr>
          <w:lang w:val="en-GB"/>
        </w:rPr>
        <w:t>Remaining details on HARQ process ID determination</w:t>
      </w:r>
    </w:p>
    <w:p w14:paraId="36CE339F" w14:textId="77777777" w:rsidR="00E23DB2" w:rsidRDefault="00D37555" w:rsidP="00D37555">
      <w:pPr>
        <w:pStyle w:val="21"/>
      </w:pPr>
      <w:r>
        <w:t>1.</w:t>
      </w:r>
      <w:r w:rsidR="0075737A">
        <w:t>2</w:t>
      </w:r>
      <w:r>
        <w:tab/>
        <w:t>DCI aspects</w:t>
      </w:r>
      <w:r w:rsidR="002261CE">
        <w:t xml:space="preserve"> </w:t>
      </w:r>
    </w:p>
    <w:p w14:paraId="50A41A4C" w14:textId="5B3E9DA8" w:rsidR="00D37555" w:rsidRPr="00E23DB2" w:rsidRDefault="00E23DB2" w:rsidP="00D37555">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8C541A">
      <w:pPr>
        <w:pStyle w:val="af7"/>
        <w:numPr>
          <w:ilvl w:val="0"/>
          <w:numId w:val="18"/>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A31601">
      <w:pPr>
        <w:pStyle w:val="af7"/>
        <w:numPr>
          <w:ilvl w:val="1"/>
          <w:numId w:val="18"/>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A31601">
      <w:pPr>
        <w:pStyle w:val="af7"/>
        <w:numPr>
          <w:ilvl w:val="1"/>
          <w:numId w:val="18"/>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505345">
      <w:pPr>
        <w:numPr>
          <w:ilvl w:val="1"/>
          <w:numId w:val="18"/>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A31601">
      <w:pPr>
        <w:pStyle w:val="af7"/>
        <w:numPr>
          <w:ilvl w:val="1"/>
          <w:numId w:val="18"/>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8C541A">
      <w:pPr>
        <w:pStyle w:val="af7"/>
        <w:numPr>
          <w:ilvl w:val="0"/>
          <w:numId w:val="18"/>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21"/>
      </w:pPr>
      <w:r>
        <w:t>1.</w:t>
      </w:r>
      <w:r w:rsidR="00A9627F">
        <w:t>3</w:t>
      </w:r>
      <w:r>
        <w:tab/>
        <w:t>HARQ reporting to gNB</w:t>
      </w:r>
    </w:p>
    <w:p w14:paraId="488F83B5" w14:textId="1C291C68" w:rsidR="00A50F94" w:rsidRPr="00E23DB2" w:rsidRDefault="00A50F94" w:rsidP="00A50F94">
      <w:pPr>
        <w:pStyle w:val="21"/>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646B0A">
      <w:pPr>
        <w:pStyle w:val="af7"/>
        <w:numPr>
          <w:ilvl w:val="0"/>
          <w:numId w:val="35"/>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DC0A43">
      <w:pPr>
        <w:pStyle w:val="af7"/>
        <w:numPr>
          <w:ilvl w:val="1"/>
          <w:numId w:val="38"/>
        </w:numPr>
        <w:rPr>
          <w:highlight w:val="yellow"/>
          <w:lang w:val="en-GB"/>
        </w:rPr>
      </w:pPr>
      <w:r w:rsidRPr="00FE225F">
        <w:rPr>
          <w:highlight w:val="yellow"/>
          <w:lang w:val="en-GB"/>
        </w:rPr>
        <w:t>Required changes to the Rel-15 procedures (as agreed) – TS 38.213 Section 9.1.2.2</w:t>
      </w:r>
    </w:p>
    <w:p w14:paraId="1A0FF3D6" w14:textId="288F3D03" w:rsidR="00DF1271" w:rsidRPr="00FE225F" w:rsidRDefault="00DF1271" w:rsidP="00646B0A">
      <w:pPr>
        <w:pStyle w:val="af7"/>
        <w:numPr>
          <w:ilvl w:val="0"/>
          <w:numId w:val="35"/>
        </w:numPr>
        <w:rPr>
          <w:highlight w:val="yellow"/>
          <w:lang w:val="en-GB"/>
        </w:rPr>
      </w:pPr>
      <w:r w:rsidRPr="00FE225F">
        <w:rPr>
          <w:highlight w:val="yellow"/>
          <w:lang w:val="en-GB"/>
        </w:rPr>
        <w:t>Type-2 codebook for reporting in UL-SCH</w:t>
      </w:r>
    </w:p>
    <w:p w14:paraId="0EDA0FF6" w14:textId="07CCA8CA" w:rsidR="00445EBA" w:rsidRPr="00FE225F" w:rsidRDefault="00445EBA" w:rsidP="00445EBA">
      <w:pPr>
        <w:pStyle w:val="af7"/>
        <w:numPr>
          <w:ilvl w:val="1"/>
          <w:numId w:val="34"/>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61635A">
      <w:pPr>
        <w:pStyle w:val="af7"/>
        <w:numPr>
          <w:ilvl w:val="0"/>
          <w:numId w:val="35"/>
        </w:numPr>
        <w:rPr>
          <w:highlight w:val="yellow"/>
          <w:lang w:val="en-GB"/>
        </w:rPr>
      </w:pPr>
      <w:r w:rsidRPr="00FE225F">
        <w:rPr>
          <w:highlight w:val="yellow"/>
          <w:lang w:val="en-GB"/>
        </w:rPr>
        <w:t>Collisions between SL HARQ-ACK reports and other Uu UCI.</w:t>
      </w:r>
    </w:p>
    <w:p w14:paraId="3C0C4ECC" w14:textId="4DAA8FC9" w:rsidR="00042F29" w:rsidRPr="00BC4DD1" w:rsidRDefault="008D20BC" w:rsidP="00646B0A">
      <w:pPr>
        <w:pStyle w:val="af7"/>
        <w:numPr>
          <w:ilvl w:val="0"/>
          <w:numId w:val="35"/>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21"/>
      </w:pPr>
      <w:r w:rsidRPr="00534614">
        <w:t>1.</w:t>
      </w:r>
      <w:r w:rsidR="00A9627F" w:rsidRPr="00534614">
        <w:t>4</w:t>
      </w:r>
      <w:r w:rsidRPr="00534614">
        <w:tab/>
      </w:r>
      <w:r w:rsidR="00A9627F" w:rsidRPr="00534614">
        <w:t>Processing times</w:t>
      </w:r>
    </w:p>
    <w:p w14:paraId="6D0ADFE7" w14:textId="395A0B19" w:rsidR="00A9627F" w:rsidRPr="00534614" w:rsidRDefault="00A9627F" w:rsidP="008D20BC">
      <w:pPr>
        <w:pStyle w:val="af7"/>
        <w:numPr>
          <w:ilvl w:val="0"/>
          <w:numId w:val="44"/>
        </w:numPr>
        <w:rPr>
          <w:lang w:val="en-GB"/>
        </w:rPr>
      </w:pPr>
      <w:r w:rsidRPr="00534614">
        <w:rPr>
          <w:lang w:val="en-GB"/>
        </w:rPr>
        <w:t>PSCCH/PSSCH preparation time.</w:t>
      </w:r>
    </w:p>
    <w:p w14:paraId="58010F35" w14:textId="5A4CDA96" w:rsidR="00A9627F" w:rsidRPr="00534614" w:rsidRDefault="00A9627F" w:rsidP="008D20BC">
      <w:pPr>
        <w:pStyle w:val="af7"/>
        <w:numPr>
          <w:ilvl w:val="0"/>
          <w:numId w:val="44"/>
        </w:numPr>
        <w:rPr>
          <w:lang w:val="en-GB"/>
        </w:rPr>
      </w:pPr>
      <w:r w:rsidRPr="00534614">
        <w:rPr>
          <w:lang w:val="en-GB"/>
        </w:rPr>
        <w:lastRenderedPageBreak/>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21"/>
      </w:pPr>
      <w:r w:rsidRPr="00534614">
        <w:t>1.5</w:t>
      </w:r>
      <w:r w:rsidRPr="00534614">
        <w:tab/>
      </w:r>
      <w:r w:rsidR="00BC4DD1" w:rsidRPr="00534614">
        <w:t xml:space="preserve">Miscellaneous </w:t>
      </w:r>
    </w:p>
    <w:p w14:paraId="1D398000" w14:textId="0DF4AC20" w:rsidR="0088085F" w:rsidRPr="00FE225F" w:rsidRDefault="0088085F" w:rsidP="00FE225F">
      <w:pPr>
        <w:pStyle w:val="af7"/>
        <w:numPr>
          <w:ilvl w:val="0"/>
          <w:numId w:val="45"/>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1"/>
        <w:jc w:val="both"/>
      </w:pPr>
      <w:r>
        <w:t>Company views</w:t>
      </w:r>
    </w:p>
    <w:tbl>
      <w:tblPr>
        <w:tblStyle w:val="afa"/>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15" w:hangingChars="150" w:hanging="315"/>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sl-MinMCS-PSSCH-r16, for multiple MCS tables, This has potential RRC impact.</w:t>
            </w:r>
          </w:p>
          <w:p w14:paraId="7AE98A51" w14:textId="77777777" w:rsidR="006C1BE8" w:rsidRDefault="006C1BE8" w:rsidP="006C1BE8">
            <w:pPr>
              <w:ind w:left="315" w:hangingChars="150" w:hanging="315"/>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14:paraId="062E4A16" w14:textId="52C113FD" w:rsidR="006C1BE8" w:rsidRPr="006C1BE8" w:rsidRDefault="006C1BE8" w:rsidP="006C1BE8">
            <w:pPr>
              <w:ind w:left="315" w:hangingChars="150" w:hanging="315"/>
              <w:rPr>
                <w:rFonts w:eastAsia="Yu Mincho"/>
                <w:lang w:val="en-GB"/>
              </w:rPr>
            </w:pPr>
            <w:r>
              <w:rPr>
                <w:rFonts w:eastAsia="Yu Mincho"/>
                <w:lang w:val="en-GB"/>
              </w:rPr>
              <w:t xml:space="preserve">1.3: In our understanding, this thread includes potential RRC impact of </w:t>
            </w:r>
            <w:r w:rsidRPr="006C1BE8">
              <w:rPr>
                <w:rFonts w:eastAsia="Yu Mincho"/>
                <w:lang w:val="en-GB"/>
              </w:rPr>
              <w:t>betaOffsets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等线"/>
                <w:lang w:val="en-GB"/>
              </w:rPr>
            </w:pPr>
            <w:r>
              <w:rPr>
                <w:rFonts w:eastAsia="等线"/>
                <w:lang w:val="en-GB"/>
              </w:rPr>
              <w:t>Agree with FL’s proposal for issue 1.1 and 1.2.</w:t>
            </w:r>
          </w:p>
          <w:p w14:paraId="05D2A046" w14:textId="77777777" w:rsidR="00BE0394" w:rsidRDefault="00BE0394" w:rsidP="00BE0394">
            <w:pPr>
              <w:rPr>
                <w:rFonts w:eastAsia="等线"/>
                <w:lang w:val="en-GB"/>
              </w:rPr>
            </w:pPr>
            <w:r>
              <w:rPr>
                <w:rFonts w:eastAsia="等线"/>
                <w:lang w:val="en-GB"/>
              </w:rPr>
              <w:t xml:space="preserve">                                                                                                                   </w:t>
            </w:r>
          </w:p>
          <w:p w14:paraId="7C5B4D3B" w14:textId="77777777" w:rsidR="00BE0394" w:rsidRDefault="00BE0394" w:rsidP="00BE0394">
            <w:pPr>
              <w:rPr>
                <w:rFonts w:eastAsia="等线"/>
                <w:b/>
                <w:bCs/>
                <w:lang w:val="en-GB"/>
              </w:rPr>
            </w:pPr>
            <w:r>
              <w:rPr>
                <w:rFonts w:eastAsia="等线"/>
                <w:b/>
                <w:bCs/>
                <w:lang w:val="en-GB"/>
              </w:rPr>
              <w:t xml:space="preserve">Regarding </w:t>
            </w:r>
            <w:r w:rsidRPr="00734E78">
              <w:rPr>
                <w:rFonts w:eastAsia="等线"/>
                <w:b/>
                <w:bCs/>
                <w:lang w:val="en-GB"/>
              </w:rPr>
              <w:t>1.3</w:t>
            </w:r>
            <w:r>
              <w:rPr>
                <w:rFonts w:eastAsia="等线"/>
                <w:b/>
                <w:bCs/>
                <w:lang w:val="en-GB"/>
              </w:rPr>
              <w:t>:</w:t>
            </w:r>
          </w:p>
          <w:p w14:paraId="55AECC4A" w14:textId="77777777" w:rsidR="00BE0394" w:rsidRDefault="00BE0394" w:rsidP="00BE0394">
            <w:pPr>
              <w:rPr>
                <w:rFonts w:eastAsia="等线"/>
                <w:lang w:val="en-GB"/>
              </w:rPr>
            </w:pPr>
            <w:r>
              <w:rPr>
                <w:rFonts w:eastAsia="等线"/>
                <w:lang w:val="en-GB"/>
              </w:rPr>
              <w:t xml:space="preserve">tDAI field exists in UL DCI for single-cell case as long as type2 codebook is configured. </w:t>
            </w:r>
          </w:p>
          <w:p w14:paraId="2DE01677" w14:textId="77777777" w:rsidR="00BE0394" w:rsidRDefault="00BE0394" w:rsidP="00BE0394">
            <w:pPr>
              <w:rPr>
                <w:rFonts w:eastAsia="等线"/>
                <w:lang w:val="en-GB"/>
              </w:rPr>
            </w:pPr>
            <w:r>
              <w:rPr>
                <w:rFonts w:eastAsia="等线"/>
                <w:lang w:val="en-GB"/>
              </w:rPr>
              <w:t>We have agreed to reuse the R15 procedure for SL HARQ reporting in Uu. Although the type-1/2 codebook as well as the SAI were discussed in last meeting, the issue of UL DAT (i.e., tSAI field in UL DCI) has not been discussed and the behaviour is not clear.</w:t>
            </w:r>
          </w:p>
          <w:p w14:paraId="08CA9612" w14:textId="77777777" w:rsidR="00BE0394" w:rsidRDefault="00BE0394" w:rsidP="00BE0394">
            <w:pPr>
              <w:rPr>
                <w:rFonts w:eastAsia="等线"/>
                <w:lang w:val="en-GB"/>
              </w:rPr>
            </w:pPr>
            <w:r>
              <w:rPr>
                <w:rFonts w:eastAsia="等线"/>
                <w:lang w:val="en-GB"/>
              </w:rPr>
              <w:t xml:space="preserve">We need to clarify how to indicate SAI in UL DCI before discussing the details of SL CB </w:t>
            </w:r>
            <w:r>
              <w:rPr>
                <w:rFonts w:eastAsia="等线" w:hint="eastAsia"/>
                <w:lang w:val="en-GB"/>
              </w:rPr>
              <w:t>on</w:t>
            </w:r>
            <w:r>
              <w:rPr>
                <w:rFonts w:eastAsia="等线"/>
                <w:lang w:val="en-GB"/>
              </w:rPr>
              <w:t xml:space="preserve"> PUSCH. </w:t>
            </w:r>
          </w:p>
          <w:p w14:paraId="5EEBE4EA" w14:textId="77777777" w:rsidR="00BE0394" w:rsidRPr="00FA6727" w:rsidRDefault="00BE0394" w:rsidP="00BE0394">
            <w:pPr>
              <w:rPr>
                <w:rFonts w:eastAsia="等线"/>
                <w:lang w:val="en-GB"/>
              </w:rPr>
            </w:pPr>
            <w:r>
              <w:rPr>
                <w:rFonts w:eastAsia="等线"/>
                <w:lang w:val="en-GB"/>
              </w:rPr>
              <w:t>So we propose to modify 1.3 as below</w:t>
            </w:r>
          </w:p>
          <w:p w14:paraId="1AB9BD93" w14:textId="77777777" w:rsidR="00BE0394" w:rsidRPr="00D63CFA" w:rsidRDefault="00BE0394" w:rsidP="00BE0394">
            <w:pPr>
              <w:pStyle w:val="af7"/>
              <w:numPr>
                <w:ilvl w:val="0"/>
                <w:numId w:val="48"/>
              </w:numPr>
              <w:rPr>
                <w:highlight w:val="yellow"/>
                <w:lang w:val="en-GB" w:eastAsia="ja-JP"/>
              </w:rPr>
            </w:pPr>
            <w:r>
              <w:rPr>
                <w:rFonts w:eastAsia="等线"/>
                <w:color w:val="FF0000"/>
                <w:highlight w:val="yellow"/>
                <w:lang w:val="en-GB"/>
              </w:rPr>
              <w:t>DCI format 0-1 should indicate SAI when SL HARQ codebook is multiplexed on the scheduled PUSCH</w:t>
            </w:r>
          </w:p>
          <w:p w14:paraId="62AA7EB3" w14:textId="77777777" w:rsidR="00BE0394" w:rsidRPr="00D63CFA" w:rsidRDefault="00BE0394" w:rsidP="00BE0394">
            <w:pPr>
              <w:pStyle w:val="af7"/>
              <w:numPr>
                <w:ilvl w:val="1"/>
                <w:numId w:val="48"/>
              </w:numPr>
              <w:rPr>
                <w:color w:val="FF0000"/>
                <w:highlight w:val="yellow"/>
                <w:lang w:val="en-GB" w:eastAsia="ja-JP"/>
              </w:rPr>
            </w:pPr>
            <w:r w:rsidRPr="00A5159B">
              <w:rPr>
                <w:rFonts w:eastAsia="等线"/>
                <w:color w:val="FF0000"/>
                <w:highlight w:val="yellow"/>
                <w:lang w:val="en-GB"/>
              </w:rPr>
              <w:t xml:space="preserve">Details on </w:t>
            </w:r>
            <w:r>
              <w:rPr>
                <w:rFonts w:eastAsia="等线"/>
                <w:color w:val="FF0000"/>
                <w:highlight w:val="yellow"/>
                <w:lang w:val="en-GB"/>
              </w:rPr>
              <w:t xml:space="preserve">the SAI indication, e.g., </w:t>
            </w:r>
            <w:r w:rsidRPr="00D63CFA">
              <w:rPr>
                <w:rFonts w:eastAsia="等线"/>
                <w:color w:val="FF0000"/>
                <w:highlight w:val="yellow"/>
                <w:lang w:val="en-GB"/>
              </w:rPr>
              <w:t>whether to introduce separated SAI field for UL DCI or reuse the R15 DAI in UL DCI to indicate SAI.</w:t>
            </w:r>
          </w:p>
          <w:p w14:paraId="41CB921D" w14:textId="77777777" w:rsidR="00BE0394" w:rsidRPr="00FE225F" w:rsidRDefault="00BE0394" w:rsidP="00BE0394">
            <w:pPr>
              <w:pStyle w:val="af7"/>
              <w:numPr>
                <w:ilvl w:val="0"/>
                <w:numId w:val="48"/>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BE0394">
            <w:pPr>
              <w:pStyle w:val="af7"/>
              <w:numPr>
                <w:ilvl w:val="1"/>
                <w:numId w:val="38"/>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BE0394">
            <w:pPr>
              <w:pStyle w:val="af7"/>
              <w:numPr>
                <w:ilvl w:val="0"/>
                <w:numId w:val="48"/>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BE0394">
            <w:pPr>
              <w:pStyle w:val="af7"/>
              <w:numPr>
                <w:ilvl w:val="1"/>
                <w:numId w:val="34"/>
              </w:numPr>
              <w:rPr>
                <w:highlight w:val="yellow"/>
                <w:lang w:val="en-GB" w:eastAsia="ja-JP"/>
              </w:rPr>
            </w:pPr>
            <w:r w:rsidRPr="00FE225F">
              <w:rPr>
                <w:highlight w:val="yellow"/>
                <w:lang w:val="en-GB" w:eastAsia="ja-JP"/>
              </w:rPr>
              <w:t>Required changes to the Rel-15 procedures (as agreed) – TS 38.213 Section 9.1.3.2</w:t>
            </w:r>
            <w:bookmarkStart w:id="1" w:name="_GoBack"/>
            <w:bookmarkEnd w:id="1"/>
          </w:p>
          <w:p w14:paraId="45FC94DE" w14:textId="196338D0" w:rsidR="002F5774" w:rsidRDefault="00BE0394" w:rsidP="007A489C">
            <w:pPr>
              <w:pStyle w:val="af7"/>
              <w:numPr>
                <w:ilvl w:val="0"/>
                <w:numId w:val="48"/>
              </w:numPr>
              <w:rPr>
                <w:lang w:val="en-GB"/>
              </w:rPr>
            </w:pPr>
            <w:r w:rsidRPr="00FE225F">
              <w:rPr>
                <w:highlight w:val="yellow"/>
                <w:lang w:val="en-GB" w:eastAsia="ja-JP"/>
              </w:rPr>
              <w:t>Collisions between SL HARQ-ACK reports and other Uu UCI.</w:t>
            </w:r>
          </w:p>
        </w:tc>
      </w:tr>
      <w:tr w:rsidR="002F5774" w14:paraId="1A87EF9F" w14:textId="77777777" w:rsidTr="006C1BE8">
        <w:tc>
          <w:tcPr>
            <w:tcW w:w="2547" w:type="dxa"/>
          </w:tcPr>
          <w:p w14:paraId="2AFFD18F" w14:textId="77777777" w:rsidR="002F5774" w:rsidRDefault="002F5774" w:rsidP="002F5774">
            <w:pPr>
              <w:rPr>
                <w:lang w:val="en-GB"/>
              </w:rPr>
            </w:pPr>
          </w:p>
        </w:tc>
        <w:tc>
          <w:tcPr>
            <w:tcW w:w="7082" w:type="dxa"/>
          </w:tcPr>
          <w:p w14:paraId="331728E0" w14:textId="77777777" w:rsidR="002F5774" w:rsidRDefault="002F5774" w:rsidP="002F5774">
            <w:pPr>
              <w:rPr>
                <w:lang w:val="en-GB"/>
              </w:rPr>
            </w:pPr>
          </w:p>
        </w:tc>
      </w:tr>
      <w:tr w:rsidR="002F5774" w14:paraId="7CDDEA03" w14:textId="77777777" w:rsidTr="006C1BE8">
        <w:tc>
          <w:tcPr>
            <w:tcW w:w="2547" w:type="dxa"/>
          </w:tcPr>
          <w:p w14:paraId="6C005CDC" w14:textId="77777777" w:rsidR="002F5774" w:rsidRDefault="002F5774" w:rsidP="002F5774">
            <w:pPr>
              <w:rPr>
                <w:lang w:val="en-GB"/>
              </w:rPr>
            </w:pPr>
          </w:p>
        </w:tc>
        <w:tc>
          <w:tcPr>
            <w:tcW w:w="7082" w:type="dxa"/>
          </w:tcPr>
          <w:p w14:paraId="64F7434E" w14:textId="77777777" w:rsidR="002F5774" w:rsidRDefault="002F5774" w:rsidP="002F5774">
            <w:pPr>
              <w:rPr>
                <w:lang w:val="en-GB"/>
              </w:rPr>
            </w:pPr>
          </w:p>
        </w:tc>
      </w:tr>
      <w:tr w:rsidR="002F5774" w14:paraId="57B1C168" w14:textId="77777777" w:rsidTr="006C1BE8">
        <w:tc>
          <w:tcPr>
            <w:tcW w:w="2547" w:type="dxa"/>
          </w:tcPr>
          <w:p w14:paraId="68677DC2" w14:textId="77777777" w:rsidR="002F5774" w:rsidRDefault="002F5774" w:rsidP="002F5774">
            <w:pPr>
              <w:rPr>
                <w:lang w:val="en-GB"/>
              </w:rPr>
            </w:pPr>
          </w:p>
        </w:tc>
        <w:tc>
          <w:tcPr>
            <w:tcW w:w="7082" w:type="dxa"/>
          </w:tcPr>
          <w:p w14:paraId="6550614D" w14:textId="77777777" w:rsidR="002F5774" w:rsidRDefault="002F5774" w:rsidP="002F5774">
            <w:pPr>
              <w:rPr>
                <w:lang w:val="en-GB"/>
              </w:rPr>
            </w:pPr>
          </w:p>
        </w:tc>
      </w:tr>
      <w:tr w:rsidR="002F5774" w14:paraId="386427DE" w14:textId="77777777" w:rsidTr="006C1BE8">
        <w:tc>
          <w:tcPr>
            <w:tcW w:w="2547" w:type="dxa"/>
          </w:tcPr>
          <w:p w14:paraId="595584FA" w14:textId="77777777" w:rsidR="002F5774" w:rsidRDefault="002F5774" w:rsidP="002F5774">
            <w:pPr>
              <w:rPr>
                <w:lang w:val="en-GB"/>
              </w:rPr>
            </w:pPr>
          </w:p>
        </w:tc>
        <w:tc>
          <w:tcPr>
            <w:tcW w:w="7082" w:type="dxa"/>
          </w:tcPr>
          <w:p w14:paraId="40DB4EA0" w14:textId="77777777" w:rsidR="002F5774" w:rsidRDefault="002F5774" w:rsidP="002F5774">
            <w:pPr>
              <w:rPr>
                <w:lang w:val="en-GB"/>
              </w:rPr>
            </w:pPr>
          </w:p>
        </w:tc>
      </w:tr>
      <w:tr w:rsidR="002F5774" w14:paraId="7F273FD1" w14:textId="77777777" w:rsidTr="006C1BE8">
        <w:tc>
          <w:tcPr>
            <w:tcW w:w="2547" w:type="dxa"/>
          </w:tcPr>
          <w:p w14:paraId="755A3E05" w14:textId="77777777" w:rsidR="002F5774" w:rsidRDefault="002F5774" w:rsidP="002F5774">
            <w:pPr>
              <w:rPr>
                <w:lang w:val="en-GB"/>
              </w:rPr>
            </w:pPr>
          </w:p>
        </w:tc>
        <w:tc>
          <w:tcPr>
            <w:tcW w:w="7082" w:type="dxa"/>
          </w:tcPr>
          <w:p w14:paraId="220A45DF" w14:textId="77777777" w:rsidR="002F5774" w:rsidRDefault="002F5774"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82AEE" w14:textId="77777777" w:rsidR="004001D8" w:rsidRDefault="004001D8">
      <w:r>
        <w:separator/>
      </w:r>
    </w:p>
  </w:endnote>
  <w:endnote w:type="continuationSeparator" w:id="0">
    <w:p w14:paraId="3F5387D6" w14:textId="77777777" w:rsidR="004001D8" w:rsidRDefault="004001D8">
      <w:r>
        <w:continuationSeparator/>
      </w:r>
    </w:p>
  </w:endnote>
  <w:endnote w:type="continuationNotice" w:id="1">
    <w:p w14:paraId="3E9FA5F1" w14:textId="77777777" w:rsidR="004001D8" w:rsidRDefault="00400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0D26F" w14:textId="77777777" w:rsidR="004001D8" w:rsidRDefault="004001D8">
      <w:r>
        <w:separator/>
      </w:r>
    </w:p>
  </w:footnote>
  <w:footnote w:type="continuationSeparator" w:id="0">
    <w:p w14:paraId="53211AB1" w14:textId="77777777" w:rsidR="004001D8" w:rsidRDefault="004001D8">
      <w:r>
        <w:continuationSeparator/>
      </w:r>
    </w:p>
  </w:footnote>
  <w:footnote w:type="continuationNotice" w:id="1">
    <w:p w14:paraId="6A4B7235" w14:textId="77777777" w:rsidR="004001D8" w:rsidRDefault="004001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B6064F"/>
    <w:multiLevelType w:val="multilevel"/>
    <w:tmpl w:val="495CD4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B3C34"/>
    <w:multiLevelType w:val="hybridMultilevel"/>
    <w:tmpl w:val="974E05F2"/>
    <w:lvl w:ilvl="0" w:tplc="4A86592E">
      <w:start w:val="1"/>
      <w:numFmt w:val="decimal"/>
      <w:lvlText w:val="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0"/>
  </w:num>
  <w:num w:numId="2">
    <w:abstractNumId w:val="24"/>
  </w:num>
  <w:num w:numId="3">
    <w:abstractNumId w:val="0"/>
  </w:num>
  <w:num w:numId="4">
    <w:abstractNumId w:val="33"/>
  </w:num>
  <w:num w:numId="5">
    <w:abstractNumId w:val="34"/>
  </w:num>
  <w:num w:numId="6">
    <w:abstractNumId w:val="36"/>
  </w:num>
  <w:num w:numId="7">
    <w:abstractNumId w:val="13"/>
  </w:num>
  <w:num w:numId="8">
    <w:abstractNumId w:val="17"/>
  </w:num>
  <w:num w:numId="9">
    <w:abstractNumId w:val="7"/>
  </w:num>
  <w:num w:numId="10">
    <w:abstractNumId w:val="46"/>
  </w:num>
  <w:num w:numId="11">
    <w:abstractNumId w:val="21"/>
  </w:num>
  <w:num w:numId="12">
    <w:abstractNumId w:val="41"/>
  </w:num>
  <w:num w:numId="13">
    <w:abstractNumId w:val="20"/>
  </w:num>
  <w:num w:numId="14">
    <w:abstractNumId w:val="37"/>
  </w:num>
  <w:num w:numId="15">
    <w:abstractNumId w:val="27"/>
  </w:num>
  <w:num w:numId="16">
    <w:abstractNumId w:val="44"/>
  </w:num>
  <w:num w:numId="17">
    <w:abstractNumId w:val="15"/>
  </w:num>
  <w:num w:numId="18">
    <w:abstractNumId w:val="22"/>
  </w:num>
  <w:num w:numId="19">
    <w:abstractNumId w:val="6"/>
  </w:num>
  <w:num w:numId="20">
    <w:abstractNumId w:val="32"/>
  </w:num>
  <w:num w:numId="21">
    <w:abstractNumId w:val="19"/>
  </w:num>
  <w:num w:numId="22">
    <w:abstractNumId w:val="10"/>
  </w:num>
  <w:num w:numId="23">
    <w:abstractNumId w:val="16"/>
  </w:num>
  <w:num w:numId="24">
    <w:abstractNumId w:val="39"/>
  </w:num>
  <w:num w:numId="25">
    <w:abstractNumId w:val="29"/>
  </w:num>
  <w:num w:numId="26">
    <w:abstractNumId w:val="31"/>
  </w:num>
  <w:num w:numId="27">
    <w:abstractNumId w:val="4"/>
  </w:num>
  <w:num w:numId="28">
    <w:abstractNumId w:val="45"/>
  </w:num>
  <w:num w:numId="29">
    <w:abstractNumId w:val="8"/>
  </w:num>
  <w:num w:numId="30">
    <w:abstractNumId w:val="43"/>
  </w:num>
  <w:num w:numId="31">
    <w:abstractNumId w:val="28"/>
  </w:num>
  <w:num w:numId="32">
    <w:abstractNumId w:val="3"/>
  </w:num>
  <w:num w:numId="33">
    <w:abstractNumId w:val="5"/>
  </w:num>
  <w:num w:numId="34">
    <w:abstractNumId w:val="18"/>
  </w:num>
  <w:num w:numId="35">
    <w:abstractNumId w:val="11"/>
  </w:num>
  <w:num w:numId="36">
    <w:abstractNumId w:val="47"/>
  </w:num>
  <w:num w:numId="37">
    <w:abstractNumId w:val="23"/>
  </w:num>
  <w:num w:numId="38">
    <w:abstractNumId w:val="9"/>
  </w:num>
  <w:num w:numId="39">
    <w:abstractNumId w:val="35"/>
  </w:num>
  <w:num w:numId="40">
    <w:abstractNumId w:val="42"/>
  </w:num>
  <w:num w:numId="41">
    <w:abstractNumId w:val="25"/>
  </w:num>
  <w:num w:numId="42">
    <w:abstractNumId w:val="12"/>
  </w:num>
  <w:num w:numId="43">
    <w:abstractNumId w:val="26"/>
  </w:num>
  <w:num w:numId="44">
    <w:abstractNumId w:val="14"/>
  </w:num>
  <w:num w:numId="45">
    <w:abstractNumId w:val="1"/>
  </w:num>
  <w:num w:numId="46">
    <w:abstractNumId w:val="40"/>
  </w:num>
  <w:num w:numId="47">
    <w:abstractNumId w:val="2"/>
  </w:num>
  <w:num w:numId="4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89C"/>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7A489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489C"/>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 단락,목록단락,列表段落,リスト段落"/>
    <w:basedOn w:val="a1"/>
    <w:link w:val="Char7"/>
    <w:uiPriority w:val="34"/>
    <w:qFormat/>
    <w:rsid w:val="008D00A5"/>
    <w:pPr>
      <w:ind w:left="720"/>
    </w:pPr>
    <w:rPr>
      <w:rFonts w:ascii="Calibri" w:eastAsia="Calibri" w:hAnsi="Calibri"/>
      <w:lang w:val="x-none"/>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8"/>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2020-05-20T02:43:00Z</dcterms:created>
  <dcterms:modified xsi:type="dcterms:W3CDTF">2020-05-20T02:46:00Z</dcterms:modified>
  <cp:category/>
</cp:coreProperties>
</file>